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E" w:rsidRPr="00315B73" w:rsidRDefault="003A42E4" w:rsidP="00E70D0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 w:eastAsia="ro-RO"/>
        </w:rPr>
      </w:pPr>
      <w:r w:rsidRPr="00315B73"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 w:eastAsia="ro-RO"/>
        </w:rPr>
        <w:t xml:space="preserve">      </w:t>
      </w:r>
    </w:p>
    <w:p w:rsidR="00A36369" w:rsidRPr="00315B73" w:rsidRDefault="00A36369" w:rsidP="00E70D0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665EE" w:rsidRPr="00315B73" w:rsidRDefault="0043349D" w:rsidP="00F66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315B73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>Comuni</w:t>
      </w:r>
      <w:r w:rsidR="0074050F" w:rsidRPr="00315B73">
        <w:rPr>
          <w:rFonts w:ascii="Times New Roman" w:hAnsi="Times New Roman" w:cs="Times New Roman"/>
          <w:b/>
          <w:color w:val="000000"/>
          <w:sz w:val="32"/>
          <w:szCs w:val="32"/>
          <w:lang w:val="ro-RO"/>
        </w:rPr>
        <w:t>cat de presă</w:t>
      </w:r>
    </w:p>
    <w:p w:rsidR="00F665EE" w:rsidRPr="00315B73" w:rsidRDefault="00F665EE" w:rsidP="00F665E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F665EE" w:rsidRPr="00315B73" w:rsidRDefault="0074050F" w:rsidP="0019236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15B73">
        <w:rPr>
          <w:rFonts w:ascii="Times New Roman" w:hAnsi="Times New Roman" w:cs="Times New Roman"/>
          <w:b/>
          <w:sz w:val="32"/>
          <w:szCs w:val="32"/>
          <w:lang w:val="ro-RO"/>
        </w:rPr>
        <w:t>Stadiul implem</w:t>
      </w:r>
      <w:r w:rsidR="00871F11" w:rsidRPr="00315B73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  <w:r w:rsidRPr="00315B73">
        <w:rPr>
          <w:rFonts w:ascii="Times New Roman" w:hAnsi="Times New Roman" w:cs="Times New Roman"/>
          <w:b/>
          <w:sz w:val="32"/>
          <w:szCs w:val="32"/>
          <w:lang w:val="ro-RO"/>
        </w:rPr>
        <w:t>ntării proiectului</w:t>
      </w:r>
    </w:p>
    <w:p w:rsidR="00836DF5" w:rsidRPr="00315B73" w:rsidRDefault="0074050F" w:rsidP="00147F9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o-RO"/>
        </w:rPr>
      </w:pPr>
      <w:r w:rsidRPr="00315B73">
        <w:rPr>
          <w:rFonts w:ascii="Times New Roman" w:hAnsi="Times New Roman" w:cs="Times New Roman"/>
          <w:b/>
          <w:sz w:val="32"/>
          <w:szCs w:val="32"/>
          <w:lang w:val="ro-RO"/>
        </w:rPr>
        <w:t>„</w:t>
      </w:r>
      <w:r w:rsidRPr="00315B73">
        <w:rPr>
          <w:rFonts w:ascii="Times New Roman" w:hAnsi="Times New Roman" w:cs="Times New Roman"/>
          <w:b/>
          <w:color w:val="000000" w:themeColor="text1"/>
          <w:sz w:val="32"/>
          <w:szCs w:val="32"/>
          <w:lang w:val="ro-RO"/>
        </w:rPr>
        <w:t>PNRR: Fonduri pentru România modernă și reformată</w:t>
      </w:r>
      <w:r w:rsidRPr="00315B73">
        <w:rPr>
          <w:rFonts w:ascii="Times New Roman" w:hAnsi="Times New Roman" w:cs="Times New Roman"/>
          <w:b/>
          <w:sz w:val="32"/>
          <w:szCs w:val="32"/>
          <w:lang w:val="ro-RO"/>
        </w:rPr>
        <w:t>”</w:t>
      </w:r>
      <w:r w:rsidR="00192362" w:rsidRPr="00315B73">
        <w:rPr>
          <w:b/>
          <w:lang w:val="ro-RO"/>
        </w:rPr>
        <w:tab/>
      </w:r>
    </w:p>
    <w:p w:rsidR="00C307B9" w:rsidRPr="00315B73" w:rsidRDefault="00C307B9" w:rsidP="00192362">
      <w:pPr>
        <w:spacing w:before="120" w:after="120"/>
        <w:contextualSpacing/>
        <w:rPr>
          <w:b/>
          <w:sz w:val="16"/>
          <w:szCs w:val="16"/>
          <w:lang w:val="ro-RO"/>
        </w:rPr>
      </w:pPr>
    </w:p>
    <w:p w:rsidR="00F665EE" w:rsidRPr="00315B73" w:rsidRDefault="0074050F" w:rsidP="00057E7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TITLU PROIECT</w:t>
      </w:r>
    </w:p>
    <w:p w:rsidR="0074050F" w:rsidRPr="00315B73" w:rsidRDefault="0074050F" w:rsidP="00057E7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Modernizare și reabilitare energetică a Centrului de pregătire și refacere/recuperare a capacității de muncă Paul Greceanu – București</w:t>
      </w:r>
    </w:p>
    <w:p w:rsidR="006B2482" w:rsidRPr="00315B73" w:rsidRDefault="006B2482" w:rsidP="006B2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BENEFICIAR: 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Ministerul Afacerilor Interne – Direcția Asigurare Logistică Integrată</w:t>
      </w:r>
    </w:p>
    <w:p w:rsidR="006B2482" w:rsidRPr="00315B73" w:rsidRDefault="006B2482" w:rsidP="00057E7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OBIECTIVELE PROIECTULUI:</w:t>
      </w:r>
    </w:p>
    <w:p w:rsidR="006B2482" w:rsidRPr="00315B73" w:rsidRDefault="006B2482" w:rsidP="00057E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general: 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Tranziția către un fond construit rezilient și verde.</w:t>
      </w:r>
    </w:p>
    <w:p w:rsidR="0040062B" w:rsidRPr="00315B73" w:rsidRDefault="006B2482" w:rsidP="003917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Obiectiv</w:t>
      </w:r>
      <w:r w:rsidR="0040062B" w:rsidRPr="00315B7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specific</w:t>
      </w:r>
      <w:r w:rsidR="0040062B" w:rsidRPr="00315B7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111BE2" w:rsidRPr="00315B73" w:rsidRDefault="00111BE2" w:rsidP="003917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Proiectul </w:t>
      </w:r>
      <w:r w:rsidR="00315B73" w:rsidRPr="00315B73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irecției Asigurare Logistică Integrată 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își propune să contribuie la tranziția spre clădiri verzi și inteligente prin implementarea unor măsuri de renovare energetică aprofundată și a unor soluții de management integrat al clădirilor pentru creșterea randamentului energetic și a reducerii emi</w:t>
      </w:r>
      <w:r w:rsidR="00D76A74" w:rsidRPr="00315B73">
        <w:rPr>
          <w:rFonts w:ascii="Times New Roman" w:hAnsi="Times New Roman" w:cs="Times New Roman"/>
          <w:sz w:val="24"/>
          <w:szCs w:val="24"/>
          <w:lang w:val="ro-RO"/>
        </w:rPr>
        <w:t>siilor de gaze cu efect de seră.</w:t>
      </w:r>
    </w:p>
    <w:p w:rsidR="0040062B" w:rsidRPr="00315B73" w:rsidRDefault="0040062B" w:rsidP="004006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Scăderea emisiei a</w:t>
      </w:r>
      <w:r w:rsidR="005E3A3C" w:rsidRPr="00315B73">
        <w:rPr>
          <w:rFonts w:ascii="Times New Roman" w:hAnsi="Times New Roman" w:cs="Times New Roman"/>
          <w:sz w:val="24"/>
          <w:szCs w:val="24"/>
          <w:lang w:val="ro-RO"/>
        </w:rPr>
        <w:t>nuale echivalent CO2 (kg/CO2/m</w:t>
      </w:r>
      <w:r w:rsidR="005E3A3C" w:rsidRPr="00315B7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5E3A3C" w:rsidRPr="00315B7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an). </w:t>
      </w:r>
    </w:p>
    <w:p w:rsidR="0040062B" w:rsidRPr="00315B73" w:rsidRDefault="0040062B" w:rsidP="004006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Scăderea consumului anual speci</w:t>
      </w:r>
      <w:r w:rsidR="005E3A3C" w:rsidRPr="00315B73">
        <w:rPr>
          <w:rFonts w:ascii="Times New Roman" w:hAnsi="Times New Roman" w:cs="Times New Roman"/>
          <w:sz w:val="24"/>
          <w:szCs w:val="24"/>
          <w:lang w:val="ro-RO"/>
        </w:rPr>
        <w:t>fic de energie primară (kWh /m</w:t>
      </w:r>
      <w:r w:rsidR="005E3A3C" w:rsidRPr="00315B7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/ an).</w:t>
      </w:r>
    </w:p>
    <w:p w:rsidR="0040062B" w:rsidRPr="00315B73" w:rsidRDefault="0040062B" w:rsidP="00C20D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Energie primară realizată din surse regenerabile de energie</w:t>
      </w:r>
    </w:p>
    <w:p w:rsidR="00C20D82" w:rsidRPr="00315B73" w:rsidRDefault="00C20D82" w:rsidP="00057E7A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Obiective directe ale proiectului</w:t>
      </w:r>
      <w:r w:rsidR="00057E7A" w:rsidRPr="00315B7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20D82" w:rsidRPr="00315B73" w:rsidRDefault="00C20D82" w:rsidP="00057E7A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îmbunătăţirea izolaţiei termice a anvelopei imobilului; </w:t>
      </w:r>
    </w:p>
    <w:p w:rsidR="00C20D82" w:rsidRPr="00315B73" w:rsidRDefault="00C20D82" w:rsidP="00C20D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înlocuirea sistemului de producere și distribuire a agentului termic cu surse de energie regenerabilă;</w:t>
      </w:r>
    </w:p>
    <w:p w:rsidR="00C20D82" w:rsidRPr="00315B73" w:rsidRDefault="00C20D82" w:rsidP="00C20D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reducerea consumurilor prin management și corpuri de iluminat cu eficienţă energetică ridicată și durată mare de viaţă; </w:t>
      </w:r>
    </w:p>
    <w:p w:rsidR="005E3A3C" w:rsidRPr="00315B73" w:rsidRDefault="005E3A3C" w:rsidP="00C20D8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amplasarea și instalarea de stații de încărcare vehicule electrice</w:t>
      </w:r>
    </w:p>
    <w:p w:rsidR="00C20D82" w:rsidRPr="00315B73" w:rsidRDefault="00C20D82" w:rsidP="00057E7A">
      <w:pPr>
        <w:spacing w:before="120" w:after="12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Obiective indirecte ale proiectului</w:t>
      </w:r>
      <w:r w:rsidR="00057E7A" w:rsidRPr="00315B7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reducerea costurilor necesare funcţionării clădirii publice; 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îmbunătăţirea condiţiilor de confort termic în incinta clădirii;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scăderea pierderilor de energie prin anvelopa clădirii și prin instalaţiile termice interioare; 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creşterea independenţei energetice, prin reducerea consumului de combustibil utilizat la prepararea agentului termic</w:t>
      </w:r>
      <w:r w:rsidR="00510FF4" w:rsidRPr="00315B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îmbunătăţirea semnificativă a aspectului faţadelor și implicit a frontului stradal</w:t>
      </w:r>
      <w:r w:rsidR="00510FF4" w:rsidRPr="00315B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creșterea valorii construcţiei;</w:t>
      </w:r>
    </w:p>
    <w:p w:rsidR="00C20D82" w:rsidRPr="00315B73" w:rsidRDefault="00C20D82" w:rsidP="00C20D8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reducerea emisiilor de noxe și implicit, un mediu mai curat; </w:t>
      </w:r>
    </w:p>
    <w:p w:rsidR="00510FF4" w:rsidRPr="00315B73" w:rsidRDefault="00C20D82" w:rsidP="00510FF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lastRenderedPageBreak/>
        <w:t>diminuarea efectelor schimbărilor climatice prin reducerea emi</w:t>
      </w:r>
      <w:r w:rsidR="00510FF4" w:rsidRPr="00315B73">
        <w:rPr>
          <w:rFonts w:ascii="Times New Roman" w:hAnsi="Times New Roman" w:cs="Times New Roman"/>
          <w:sz w:val="24"/>
          <w:szCs w:val="24"/>
          <w:lang w:val="ro-RO"/>
        </w:rPr>
        <w:t>siilor de gaze cu efect de seră;</w:t>
      </w:r>
    </w:p>
    <w:p w:rsidR="00C04120" w:rsidRPr="00315B73" w:rsidRDefault="00C04120" w:rsidP="00057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06F4D" w:rsidRPr="00315B73" w:rsidRDefault="003A42E4" w:rsidP="00CC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A74" w:rsidRPr="00315B7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C5143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A073A5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biectivul de investiții </w:t>
      </w:r>
      <w:r w:rsidR="00E750E4" w:rsidRPr="00315B73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="00057E7A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="00057E7A" w:rsidRPr="00315B73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și reabilitare energetică a Centrului de pregătire și refacere/recuperare a capacității de muncă Paul Greceanu – București</w:t>
      </w:r>
      <w:r w:rsidR="00057E7A" w:rsidRPr="00315B73">
        <w:rPr>
          <w:rFonts w:ascii="Times New Roman" w:hAnsi="Times New Roman" w:cs="Times New Roman"/>
          <w:sz w:val="24"/>
          <w:szCs w:val="24"/>
          <w:lang w:val="ro-RO"/>
        </w:rPr>
        <w:t>”, cu finanţare din fondurile europene aferente Planului Naţional de Redresare şi Rezilienţă PNRR/2022/C5/2/B.2.2./1, Componenta 5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7E7A" w:rsidRPr="00315B73">
        <w:rPr>
          <w:rFonts w:ascii="Times New Roman" w:hAnsi="Times New Roman" w:cs="Times New Roman"/>
          <w:sz w:val="24"/>
          <w:szCs w:val="24"/>
          <w:lang w:val="ro-RO"/>
        </w:rPr>
        <w:t>- Valul renovării/ Axa 2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7E7A" w:rsidRPr="00315B7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7E7A" w:rsidRPr="00315B73">
        <w:rPr>
          <w:rFonts w:ascii="Times New Roman" w:hAnsi="Times New Roman" w:cs="Times New Roman"/>
          <w:sz w:val="24"/>
          <w:szCs w:val="24"/>
          <w:lang w:val="ro-RO"/>
        </w:rPr>
        <w:t>Schema de Granturi pentru eficienţă energetică în clădiri publice/Operaţiunea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7E7A" w:rsidRPr="00315B73">
        <w:rPr>
          <w:rFonts w:ascii="Times New Roman" w:hAnsi="Times New Roman" w:cs="Times New Roman"/>
          <w:sz w:val="24"/>
          <w:szCs w:val="24"/>
          <w:lang w:val="ro-RO"/>
        </w:rPr>
        <w:t>B.2. - Renovarea energetică moderată sau a</w:t>
      </w:r>
      <w:r w:rsidR="00CC5143">
        <w:rPr>
          <w:rFonts w:ascii="Times New Roman" w:hAnsi="Times New Roman" w:cs="Times New Roman"/>
          <w:sz w:val="24"/>
          <w:szCs w:val="24"/>
          <w:lang w:val="ro-RO"/>
        </w:rPr>
        <w:t xml:space="preserve">profundată a clădirilor publice, </w:t>
      </w:r>
      <w:r w:rsidR="00510FF4" w:rsidRPr="00315B73">
        <w:rPr>
          <w:rFonts w:ascii="Times New Roman" w:hAnsi="Times New Roman" w:cs="Times New Roman"/>
          <w:sz w:val="24"/>
          <w:szCs w:val="24"/>
          <w:lang w:val="ro-RO"/>
        </w:rPr>
        <w:t>prevede realizarea lucrărilor de eficientizare energetică a clădirii existente, respectiv lucrări de reabilitare termică a elementelor de anvelopare a clădirii, lucrări de reabilitare termică a sistemului de furnizare a apei calde de consum, lucrări de instalare a unui sistem integrat de climatizare, instalarea unor sisteme alternative de producere a energiei electrice, lucrări de modernizare a sistemului</w:t>
      </w:r>
      <w:r w:rsidR="00D265DE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FF4" w:rsidRPr="00315B73">
        <w:rPr>
          <w:rFonts w:ascii="Times New Roman" w:hAnsi="Times New Roman" w:cs="Times New Roman"/>
          <w:sz w:val="24"/>
          <w:szCs w:val="24"/>
          <w:lang w:val="ro-RO"/>
        </w:rPr>
        <w:t>de iluminat, sisteme de management integrat pentru clădiri</w:t>
      </w:r>
      <w:r w:rsidR="00827398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0FF4" w:rsidRPr="00315B73">
        <w:rPr>
          <w:rFonts w:ascii="Times New Roman" w:hAnsi="Times New Roman" w:cs="Times New Roman"/>
          <w:sz w:val="24"/>
          <w:szCs w:val="24"/>
          <w:lang w:val="ro-RO"/>
        </w:rPr>
        <w:t>lucrări de modernizare</w:t>
      </w:r>
      <w:r w:rsidR="00206F4D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a spațiilor</w:t>
      </w:r>
      <w:r w:rsidR="00961621" w:rsidRPr="00315B7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02B20" w:rsidRPr="00315B73" w:rsidRDefault="00D76A74" w:rsidP="00315B73">
      <w:pPr>
        <w:spacing w:after="12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Implementarea proiectului se va realiza cu respectarea principiului “Do No Significant Harm” (DNSH), astfel cum este prevăzut la art. 17 din Regulamentul (UE) 2020/852 privind instruirea unui cadru care să faciliteze investițiile durabile, făcându-se</w:t>
      </w:r>
      <w:r w:rsidR="005658A0" w:rsidRPr="005658A0">
        <w:rPr>
          <w:rFonts w:ascii="Times New Roman" w:hAnsi="Times New Roman" w:cs="Times New Roman"/>
          <w:sz w:val="24"/>
          <w:szCs w:val="24"/>
          <w:lang w:val="ro-RO"/>
        </w:rPr>
        <w:t xml:space="preserve"> astfel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trecerea la un fond construit re</w:t>
      </w:r>
      <w:r w:rsidR="005658A0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ilient și verde.</w:t>
      </w:r>
    </w:p>
    <w:p w:rsidR="00BF1740" w:rsidRPr="00315B73" w:rsidRDefault="00D76A74" w:rsidP="00315B7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86613">
        <w:rPr>
          <w:rFonts w:ascii="Times New Roman" w:hAnsi="Times New Roman" w:cs="Times New Roman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215.25pt" o:bordertopcolor="this" o:borderleftcolor="this" o:borderbottomcolor="this" o:borderrightcolor="this" filled="t" fillcolor="#fc9">
            <v:fill r:id="rId8" o:title="Papirus" opacity="58982f" color2="black" rotate="t" focus="100%" type="tile"/>
            <v:imagedata r:id="rId9" o:title="Paul Greceanu_2" cropbottom="20389f"/>
          </v:shape>
        </w:pict>
      </w:r>
    </w:p>
    <w:p w:rsidR="00206F4D" w:rsidRPr="00315B73" w:rsidRDefault="00206F4D" w:rsidP="008273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6B34" w:rsidRPr="00315B73" w:rsidRDefault="00716B34" w:rsidP="00A073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În data de 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24.10.2023</w:t>
      </w:r>
      <w:r w:rsidR="00D265DE" w:rsidRPr="00315B7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827398" w:rsidRPr="00315B73">
        <w:rPr>
          <w:rFonts w:ascii="Times New Roman" w:hAnsi="Times New Roman" w:cs="Times New Roman"/>
          <w:sz w:val="24"/>
          <w:szCs w:val="24"/>
          <w:lang w:val="ro-RO"/>
        </w:rPr>
        <w:t>-a semnat contractul de elaborare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a proiectului tehnic și execuția lucrărilor, necesare realizării obiectivului de investiții denumit „</w:t>
      </w:r>
      <w:r w:rsidRPr="00315B73">
        <w:rPr>
          <w:rFonts w:ascii="Times New Roman" w:hAnsi="Times New Roman" w:cs="Times New Roman"/>
          <w:i/>
          <w:sz w:val="24"/>
          <w:szCs w:val="24"/>
          <w:lang w:val="ro-RO"/>
        </w:rPr>
        <w:t>Modernizare și reabilitare energetică a Centrului de pregătire și refacere/recuperare a capacității de muncă Paul Greceanu – București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206F4D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cu finanţare din fondurile europene aferente Planului Naţional de Redresare şi Rezilienţă PNRR/2022/C5/2/B.2.2./1, Componenta 5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6F4D" w:rsidRPr="00315B73">
        <w:rPr>
          <w:rFonts w:ascii="Times New Roman" w:hAnsi="Times New Roman" w:cs="Times New Roman"/>
          <w:sz w:val="24"/>
          <w:szCs w:val="24"/>
          <w:lang w:val="ro-RO"/>
        </w:rPr>
        <w:t>- Valul renovării/ Axa 2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6F4D" w:rsidRPr="00315B7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A073A5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6F4D" w:rsidRPr="00315B73">
        <w:rPr>
          <w:rFonts w:ascii="Times New Roman" w:hAnsi="Times New Roman" w:cs="Times New Roman"/>
          <w:sz w:val="24"/>
          <w:szCs w:val="24"/>
          <w:lang w:val="ro-RO"/>
        </w:rPr>
        <w:t>Schema de Granturi pentru eficienţă energetică în clădiri publice/Operaţiunea</w:t>
      </w:r>
      <w:r w:rsidR="005B1973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06F4D" w:rsidRPr="00315B73">
        <w:rPr>
          <w:rFonts w:ascii="Times New Roman" w:hAnsi="Times New Roman" w:cs="Times New Roman"/>
          <w:sz w:val="24"/>
          <w:szCs w:val="24"/>
          <w:lang w:val="ro-RO"/>
        </w:rPr>
        <w:t>B.2. - Renovarea energetică moderată sau aprofundată a clădirilor publice</w:t>
      </w:r>
      <w:r w:rsidR="00A073A5" w:rsidRPr="00315B7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3220F" w:rsidRPr="00315B73" w:rsidRDefault="0073220F" w:rsidP="00206F4D">
      <w:pPr>
        <w:spacing w:before="120"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lastRenderedPageBreak/>
        <w:t>Valo</w:t>
      </w:r>
      <w:r w:rsidR="00A073A5" w:rsidRPr="00315B7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rea totală a contractului de elaborare a proiectului tehnic și execuția lucrărilor, necesare realizării obiectivului de investiții denumit „</w:t>
      </w:r>
      <w:r w:rsidRPr="00315B73">
        <w:rPr>
          <w:rFonts w:ascii="Times New Roman" w:hAnsi="Times New Roman" w:cs="Times New Roman"/>
          <w:i/>
          <w:sz w:val="24"/>
          <w:szCs w:val="24"/>
          <w:lang w:val="ro-RO"/>
        </w:rPr>
        <w:t>Modernizare și reabilitare energetică a Centrului de pregătire și refacere/recuperare a capacității de muncă Paul Greceanu – București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” este de:</w:t>
      </w:r>
    </w:p>
    <w:p w:rsidR="0073220F" w:rsidRPr="00315B73" w:rsidRDefault="0073220F" w:rsidP="00206F4D">
      <w:pPr>
        <w:pStyle w:val="ListParagraph"/>
        <w:numPr>
          <w:ilvl w:val="0"/>
          <w:numId w:val="18"/>
        </w:numPr>
        <w:spacing w:before="120" w:after="0" w:line="240" w:lineRule="auto"/>
        <w:ind w:left="12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15.960.750,00 lei, fără TVA</w:t>
      </w:r>
    </w:p>
    <w:p w:rsidR="00E02B20" w:rsidRPr="00315B73" w:rsidRDefault="0073220F" w:rsidP="00206F4D">
      <w:pPr>
        <w:pStyle w:val="ListParagraph"/>
        <w:numPr>
          <w:ilvl w:val="0"/>
          <w:numId w:val="18"/>
        </w:numPr>
        <w:spacing w:before="120" w:after="0" w:line="240" w:lineRule="auto"/>
        <w:ind w:left="12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18.993.750,00 lei, cu TVA</w:t>
      </w:r>
    </w:p>
    <w:p w:rsidR="00E02B20" w:rsidRPr="00315B73" w:rsidRDefault="00E02B20" w:rsidP="00BC4CB3">
      <w:pPr>
        <w:pStyle w:val="ListParagraph"/>
        <w:tabs>
          <w:tab w:val="left" w:pos="0"/>
        </w:tabs>
        <w:spacing w:after="0"/>
        <w:ind w:left="0" w:firstLine="56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33EC3" w:rsidRPr="00315B73" w:rsidRDefault="00CC5143" w:rsidP="00827398">
      <w:pPr>
        <w:pStyle w:val="ListParagraph"/>
        <w:tabs>
          <w:tab w:val="left" w:pos="0"/>
        </w:tabs>
        <w:spacing w:after="0"/>
        <w:ind w:left="0" w:firstLine="56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pict>
          <v:shape id="_x0000_i1026" type="#_x0000_t75" style="width:545.25pt;height:216.75pt">
            <v:imagedata r:id="rId10" o:title="Paul Greceanu_1" cropbottom="19418f"/>
          </v:shape>
        </w:pict>
      </w:r>
    </w:p>
    <w:p w:rsidR="00206F4D" w:rsidRPr="00315B73" w:rsidRDefault="00206F4D" w:rsidP="00AB3865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4CB3" w:rsidRPr="00315B73" w:rsidRDefault="00BC4CB3" w:rsidP="00AB3865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DAT</w:t>
      </w:r>
      <w:r w:rsidR="006D07DF">
        <w:rPr>
          <w:rFonts w:ascii="Times New Roman" w:hAnsi="Times New Roman" w:cs="Times New Roman"/>
          <w:b/>
          <w:sz w:val="24"/>
          <w:szCs w:val="24"/>
          <w:lang w:val="ro-RO"/>
        </w:rPr>
        <w:t>ELE DE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ÎNCEPERE ȘI</w:t>
      </w:r>
      <w:r w:rsidR="006D07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FINALIZARE </w:t>
      </w:r>
      <w:r w:rsidR="006D07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ALE 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="006D07DF">
        <w:rPr>
          <w:rFonts w:ascii="Times New Roman" w:hAnsi="Times New Roman" w:cs="Times New Roman"/>
          <w:b/>
          <w:sz w:val="24"/>
          <w:szCs w:val="24"/>
          <w:lang w:val="ro-RO"/>
        </w:rPr>
        <w:t>ULUI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536B12" w:rsidRPr="00315B73" w:rsidRDefault="00536B12" w:rsidP="00536B12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conformitate cu prevederile art. 2, alin. (2) din Contractul de finanțare nr. 9118/24.01.2023,  între Ministerul Dezvoltării, Luc</w:t>
      </w:r>
      <w:bookmarkStart w:id="0" w:name="_GoBack"/>
      <w:bookmarkEnd w:id="0"/>
      <w:r w:rsidRPr="00315B7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rărilor Publice și Administrației și Ministerul Afacerilor Interne, perioada de implementare a Proiectului aferent realizării obiectivului de investiții denumit 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315B73">
        <w:rPr>
          <w:rFonts w:ascii="Times New Roman" w:hAnsi="Times New Roman" w:cs="Times New Roman"/>
          <w:i/>
          <w:sz w:val="24"/>
          <w:szCs w:val="24"/>
          <w:lang w:val="ro-RO"/>
        </w:rPr>
        <w:t>Centru de pregătire și refacere/recuperare a capacității de muncă Paul Greceanu – București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” este de 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24 de luni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, calculate de la data semnării Contractului de finanțare</w:t>
      </w:r>
      <w:r w:rsidR="0073220F"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, respectiv </w:t>
      </w:r>
      <w:r w:rsidR="0073220F" w:rsidRPr="00315B73">
        <w:rPr>
          <w:rFonts w:ascii="Times New Roman" w:hAnsi="Times New Roman" w:cs="Times New Roman"/>
          <w:b/>
          <w:sz w:val="24"/>
          <w:szCs w:val="24"/>
          <w:lang w:val="ro-RO"/>
        </w:rPr>
        <w:t>14.02.2023-14.02.2025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33EC3" w:rsidRPr="00315B73" w:rsidRDefault="00B33EC3" w:rsidP="00F60650">
      <w:pPr>
        <w:pStyle w:val="ListParagraph"/>
        <w:tabs>
          <w:tab w:val="left" w:pos="0"/>
        </w:tabs>
        <w:spacing w:after="0"/>
        <w:ind w:left="0" w:firstLine="56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E25AF" w:rsidRPr="00315B73" w:rsidRDefault="00AC0C50" w:rsidP="007E25AF">
      <w:pPr>
        <w:pStyle w:val="ListParagraph"/>
        <w:tabs>
          <w:tab w:val="left" w:pos="0"/>
        </w:tabs>
        <w:spacing w:before="120" w:after="120"/>
        <w:ind w:left="0" w:firstLine="56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5B73">
        <w:rPr>
          <w:rFonts w:ascii="Times New Roman" w:hAnsi="Times New Roman"/>
          <w:b/>
          <w:sz w:val="24"/>
          <w:szCs w:val="24"/>
          <w:lang w:val="ro-RO"/>
        </w:rPr>
        <w:t>DATE DE CONTACT: DIRECȚIA ASIGURARE LOGISTICĂ INTEGRATĂ</w:t>
      </w:r>
    </w:p>
    <w:p w:rsidR="00AC0C50" w:rsidRPr="00315B73" w:rsidRDefault="00AC0C50" w:rsidP="007E25AF">
      <w:pPr>
        <w:pStyle w:val="ListParagraph"/>
        <w:tabs>
          <w:tab w:val="left" w:pos="0"/>
        </w:tabs>
        <w:spacing w:before="120" w:after="0"/>
        <w:ind w:left="0" w:firstLine="562"/>
        <w:jc w:val="both"/>
        <w:rPr>
          <w:rFonts w:ascii="Times New Roman" w:hAnsi="Times New Roman"/>
          <w:sz w:val="24"/>
          <w:szCs w:val="24"/>
          <w:lang w:val="ro-RO"/>
        </w:rPr>
      </w:pPr>
      <w:r w:rsidRPr="00315B73">
        <w:rPr>
          <w:rFonts w:ascii="Times New Roman" w:hAnsi="Times New Roman"/>
          <w:sz w:val="24"/>
          <w:szCs w:val="24"/>
          <w:lang w:val="ro-RO"/>
        </w:rPr>
        <w:t>Adresa: str. Eforie nr. 3, sector 5, București</w:t>
      </w:r>
      <w:r w:rsidR="00206F4D" w:rsidRPr="00315B7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76A74" w:rsidRPr="00315B73" w:rsidRDefault="00AC0C50" w:rsidP="003E495B">
      <w:pPr>
        <w:pStyle w:val="ListParagraph"/>
        <w:tabs>
          <w:tab w:val="left" w:pos="0"/>
        </w:tabs>
        <w:spacing w:before="120" w:after="120"/>
        <w:ind w:left="0"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/>
          <w:sz w:val="24"/>
          <w:szCs w:val="24"/>
          <w:lang w:val="ro-RO"/>
        </w:rPr>
        <w:t xml:space="preserve">Telefon/fax: </w:t>
      </w:r>
      <w:r w:rsidRPr="00315B73">
        <w:rPr>
          <w:rFonts w:ascii="Times New Roman" w:hAnsi="Times New Roman" w:cs="Times New Roman"/>
          <w:sz w:val="24"/>
          <w:szCs w:val="24"/>
          <w:lang w:val="ro-RO"/>
        </w:rPr>
        <w:t>021.264.87.13/021.312.44.21</w:t>
      </w:r>
      <w:r w:rsidR="00A34F97" w:rsidRPr="00315B73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057E7A" w:rsidRPr="00315B73" w:rsidRDefault="00A34F97" w:rsidP="003E495B">
      <w:pPr>
        <w:pStyle w:val="ListParagraph"/>
        <w:tabs>
          <w:tab w:val="left" w:pos="0"/>
        </w:tabs>
        <w:spacing w:before="120" w:after="120"/>
        <w:ind w:left="0"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 xml:space="preserve"> e-mail: dali@mai.gov.ro</w:t>
      </w:r>
    </w:p>
    <w:p w:rsidR="00057E7A" w:rsidRPr="00315B73" w:rsidRDefault="00057E7A" w:rsidP="00BC4CB3">
      <w:pPr>
        <w:pStyle w:val="ListParagraph"/>
        <w:tabs>
          <w:tab w:val="left" w:pos="0"/>
        </w:tabs>
        <w:spacing w:after="0"/>
        <w:ind w:left="0"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33EC3" w:rsidRPr="00315B73" w:rsidRDefault="00C04120" w:rsidP="00827398">
      <w:pPr>
        <w:pStyle w:val="ListParagraph"/>
        <w:tabs>
          <w:tab w:val="left" w:pos="0"/>
        </w:tabs>
        <w:spacing w:after="0"/>
        <w:ind w:left="0" w:firstLine="56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>PNRR: Fonduri pentru România modern</w:t>
      </w:r>
      <w:r w:rsidR="005658A0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315B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reformată!</w:t>
      </w:r>
      <w:r w:rsidR="00AC0C50" w:rsidRPr="00315B73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AC0C50" w:rsidRPr="00315B73" w:rsidRDefault="00C04120" w:rsidP="00C04120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B73">
        <w:rPr>
          <w:rFonts w:ascii="Times New Roman" w:hAnsi="Times New Roman" w:cs="Times New Roman"/>
          <w:sz w:val="24"/>
          <w:szCs w:val="24"/>
          <w:lang w:val="ro-RO"/>
        </w:rPr>
        <w:t>Apel de proiecte gestionat de Ministerul Dezvoltării, Lucrărilor Publice și Administrației finanțat   din fonduri europene prin Planul Național de Redresare și Reziliență al României și din fonduri naționale.</w:t>
      </w:r>
    </w:p>
    <w:p w:rsidR="00DF6863" w:rsidRPr="00315B73" w:rsidRDefault="00DF6863" w:rsidP="00AC6C4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F6863" w:rsidRPr="00315B73" w:rsidSect="00315B73">
      <w:headerReference w:type="default" r:id="rId11"/>
      <w:footerReference w:type="default" r:id="rId12"/>
      <w:pgSz w:w="12240" w:h="15840"/>
      <w:pgMar w:top="142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3" w:rsidRDefault="00286613" w:rsidP="00153E28">
      <w:pPr>
        <w:spacing w:after="0" w:line="240" w:lineRule="auto"/>
      </w:pPr>
      <w:r>
        <w:separator/>
      </w:r>
    </w:p>
  </w:endnote>
  <w:endnote w:type="continuationSeparator" w:id="0">
    <w:p w:rsidR="00286613" w:rsidRDefault="00286613" w:rsidP="001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7A" w:rsidRPr="00FE38BC" w:rsidRDefault="00057E7A" w:rsidP="00057E7A">
    <w:pPr>
      <w:pStyle w:val="Default"/>
      <w:rPr>
        <w:rFonts w:ascii="Tahoma" w:eastAsia="BatangChe" w:hAnsi="Tahoma" w:cs="Tahoma"/>
        <w:color w:val="2C5E7C"/>
        <w:sz w:val="18"/>
        <w:szCs w:val="18"/>
        <w:lang w:val="ro-RO"/>
      </w:rPr>
    </w:pPr>
    <w:r>
      <w:rPr>
        <w:b/>
        <w:sz w:val="32"/>
        <w:szCs w:val="32"/>
      </w:rPr>
      <w:t xml:space="preserve">   </w:t>
    </w:r>
    <w:r w:rsidRPr="00D15602">
      <w:rPr>
        <w:rFonts w:ascii="Tahoma" w:hAnsi="Tahoma" w:cs="Tahoma"/>
        <w:color w:val="2C5E7C"/>
        <w:sz w:val="18"/>
        <w:szCs w:val="18"/>
        <w:lang w:val="ro-RO"/>
      </w:rPr>
      <w:t>Conținutul acestui material nu reprezintă în mod obligatoriu poziția oficială a Uniunii Europene sau a Guvernului României</w:t>
    </w:r>
    <w:r>
      <w:rPr>
        <w:rFonts w:ascii="Tahoma" w:eastAsia="BatangChe" w:hAnsi="Tahoma" w:cs="Tahoma"/>
        <w:color w:val="2C5E7C"/>
        <w:sz w:val="18"/>
        <w:szCs w:val="18"/>
        <w:lang w:val="ro-RO"/>
      </w:rPr>
      <w:t>.</w:t>
    </w:r>
  </w:p>
  <w:p w:rsidR="00057E7A" w:rsidRDefault="00057E7A" w:rsidP="00057E7A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</w:t>
    </w:r>
    <w:r>
      <w:rPr>
        <w:b/>
        <w:noProof/>
        <w:sz w:val="23"/>
        <w:szCs w:val="23"/>
      </w:rPr>
      <w:drawing>
        <wp:inline distT="0" distB="0" distL="0" distR="0">
          <wp:extent cx="5200650" cy="57150"/>
          <wp:effectExtent l="19050" t="0" r="0" b="0"/>
          <wp:docPr id="12" name="Picture 251" descr="C:\Users\internet\Desktop\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 descr="C:\Users\internet\Desktop\pn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3"/>
        <w:szCs w:val="23"/>
      </w:rPr>
      <w:t xml:space="preserve">   </w:t>
    </w:r>
  </w:p>
  <w:p w:rsidR="00057E7A" w:rsidRPr="00E13B43" w:rsidRDefault="00057E7A" w:rsidP="00057E7A">
    <w:pPr>
      <w:pStyle w:val="Default"/>
      <w:jc w:val="center"/>
      <w:rPr>
        <w:rFonts w:ascii="Tahoma" w:hAnsi="Tahoma" w:cs="Tahoma"/>
        <w:b/>
        <w:bCs/>
        <w:color w:val="5B9BD5"/>
        <w:sz w:val="22"/>
        <w:szCs w:val="22"/>
      </w:rPr>
    </w:pPr>
    <w:r w:rsidRPr="00E13B43">
      <w:rPr>
        <w:rFonts w:ascii="Tahoma" w:hAnsi="Tahoma" w:cs="Tahoma"/>
        <w:b/>
        <w:bCs/>
        <w:color w:val="5B9BD5"/>
        <w:sz w:val="22"/>
        <w:szCs w:val="22"/>
      </w:rPr>
      <w:t xml:space="preserve">„PNRR. </w:t>
    </w:r>
    <w:proofErr w:type="spellStart"/>
    <w:r w:rsidRPr="00E13B43">
      <w:rPr>
        <w:rFonts w:ascii="Tahoma" w:hAnsi="Tahoma" w:cs="Tahoma"/>
        <w:b/>
        <w:bCs/>
        <w:color w:val="5B9BD5"/>
        <w:sz w:val="22"/>
        <w:szCs w:val="22"/>
      </w:rPr>
      <w:t>Finanțat</w:t>
    </w:r>
    <w:proofErr w:type="spellEnd"/>
    <w:r w:rsidRPr="00E13B43">
      <w:rPr>
        <w:rFonts w:ascii="Tahoma" w:hAnsi="Tahoma" w:cs="Tahoma"/>
        <w:b/>
        <w:bCs/>
        <w:color w:val="5B9BD5"/>
        <w:sz w:val="22"/>
        <w:szCs w:val="22"/>
      </w:rPr>
      <w:t xml:space="preserve"> de </w:t>
    </w:r>
    <w:proofErr w:type="spellStart"/>
    <w:r w:rsidRPr="00D15602">
      <w:rPr>
        <w:rFonts w:ascii="Tahoma" w:hAnsi="Tahoma" w:cs="Tahoma"/>
        <w:b/>
        <w:bCs/>
        <w:color w:val="3D80A9"/>
        <w:sz w:val="22"/>
        <w:szCs w:val="22"/>
      </w:rPr>
      <w:t>Uniunea</w:t>
    </w:r>
    <w:proofErr w:type="spellEnd"/>
    <w:r w:rsidRPr="00E13B43">
      <w:rPr>
        <w:rFonts w:ascii="Tahoma" w:hAnsi="Tahoma" w:cs="Tahoma"/>
        <w:b/>
        <w:bCs/>
        <w:color w:val="5B9BD5"/>
        <w:sz w:val="22"/>
        <w:szCs w:val="22"/>
      </w:rPr>
      <w:t xml:space="preserve"> </w:t>
    </w:r>
    <w:proofErr w:type="spellStart"/>
    <w:r w:rsidRPr="00E13B43">
      <w:rPr>
        <w:rFonts w:ascii="Tahoma" w:hAnsi="Tahoma" w:cs="Tahoma"/>
        <w:b/>
        <w:bCs/>
        <w:color w:val="5B9BD5"/>
        <w:sz w:val="22"/>
        <w:szCs w:val="22"/>
      </w:rPr>
      <w:t>Europeană</w:t>
    </w:r>
    <w:proofErr w:type="spellEnd"/>
    <w:r w:rsidRPr="00E13B43">
      <w:rPr>
        <w:rFonts w:ascii="Tahoma" w:hAnsi="Tahoma" w:cs="Tahoma"/>
        <w:b/>
        <w:bCs/>
        <w:color w:val="5B9BD5"/>
        <w:sz w:val="22"/>
        <w:szCs w:val="22"/>
      </w:rPr>
      <w:t xml:space="preserve"> – </w:t>
    </w:r>
    <w:proofErr w:type="spellStart"/>
    <w:r w:rsidRPr="00E13B43">
      <w:rPr>
        <w:rFonts w:ascii="Tahoma" w:hAnsi="Tahoma" w:cs="Tahoma"/>
        <w:b/>
        <w:bCs/>
        <w:color w:val="5B9BD5"/>
        <w:sz w:val="22"/>
        <w:szCs w:val="22"/>
      </w:rPr>
      <w:t>UrmătoareaGenerațieUE</w:t>
    </w:r>
    <w:proofErr w:type="spellEnd"/>
    <w:r w:rsidRPr="00E13B43">
      <w:rPr>
        <w:rFonts w:ascii="Tahoma" w:hAnsi="Tahoma" w:cs="Tahoma"/>
        <w:b/>
        <w:bCs/>
        <w:color w:val="5B9BD5"/>
        <w:sz w:val="22"/>
        <w:szCs w:val="22"/>
      </w:rPr>
      <w:t>”.</w:t>
    </w:r>
  </w:p>
  <w:p w:rsidR="00057E7A" w:rsidRPr="00D15602" w:rsidRDefault="00057E7A" w:rsidP="00057E7A">
    <w:pPr>
      <w:pStyle w:val="Default"/>
      <w:jc w:val="center"/>
      <w:rPr>
        <w:rFonts w:ascii="Tahoma" w:hAnsi="Tahoma" w:cs="Tahoma"/>
        <w:b/>
        <w:bCs/>
        <w:color w:val="3D80A9"/>
        <w:sz w:val="16"/>
        <w:szCs w:val="16"/>
      </w:rPr>
    </w:pPr>
    <w:r w:rsidRPr="00D15602">
      <w:rPr>
        <w:rFonts w:ascii="Tahoma" w:hAnsi="Tahoma" w:cs="Tahoma"/>
        <w:b/>
        <w:color w:val="3D80A9"/>
        <w:sz w:val="16"/>
        <w:szCs w:val="16"/>
      </w:rPr>
      <w:t xml:space="preserve">      </w:t>
    </w:r>
    <w:hyperlink r:id="rId2" w:history="1">
      <w:r w:rsidRPr="00D15602">
        <w:rPr>
          <w:rStyle w:val="Hyperlink"/>
          <w:rFonts w:ascii="Tahoma" w:hAnsi="Tahoma" w:cs="Tahoma"/>
          <w:b/>
          <w:color w:val="3D80A9"/>
          <w:sz w:val="16"/>
          <w:szCs w:val="16"/>
        </w:rPr>
        <w:t>https://mfe.gov.ro/pnrr/</w:t>
      </w:r>
    </w:hyperlink>
    <w:r w:rsidRPr="00D15602">
      <w:rPr>
        <w:rFonts w:ascii="Tahoma" w:hAnsi="Tahoma" w:cs="Tahoma"/>
        <w:b/>
        <w:color w:val="3D80A9"/>
        <w:sz w:val="16"/>
        <w:szCs w:val="16"/>
      </w:rPr>
      <w:t xml:space="preserve">      </w:t>
    </w:r>
    <w:hyperlink r:id="rId3" w:history="1">
      <w:r w:rsidRPr="00D15602">
        <w:rPr>
          <w:rStyle w:val="Hyperlink"/>
          <w:rFonts w:ascii="Tahoma" w:hAnsi="Tahoma" w:cs="Tahoma"/>
          <w:b/>
          <w:color w:val="3D80A9"/>
          <w:sz w:val="16"/>
          <w:szCs w:val="16"/>
        </w:rPr>
        <w:t>https://www.facebook.com/PNRROficial/</w:t>
      </w:r>
    </w:hyperlink>
  </w:p>
  <w:p w:rsidR="00C20D82" w:rsidRPr="00C20D82" w:rsidRDefault="00C20D82" w:rsidP="00057E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3" w:rsidRDefault="00286613" w:rsidP="00153E28">
      <w:pPr>
        <w:spacing w:after="0" w:line="240" w:lineRule="auto"/>
      </w:pPr>
      <w:r>
        <w:separator/>
      </w:r>
    </w:p>
  </w:footnote>
  <w:footnote w:type="continuationSeparator" w:id="0">
    <w:p w:rsidR="00286613" w:rsidRDefault="00286613" w:rsidP="0015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98" w:rsidRDefault="00827398" w:rsidP="00827398">
    <w:pPr>
      <w:keepNext/>
      <w:spacing w:after="0" w:line="240" w:lineRule="auto"/>
      <w:outlineLvl w:val="0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3637165</wp:posOffset>
          </wp:positionH>
          <wp:positionV relativeFrom="paragraph">
            <wp:posOffset>-346</wp:posOffset>
          </wp:positionV>
          <wp:extent cx="2704524" cy="706581"/>
          <wp:effectExtent l="19050" t="0" r="576" b="0"/>
          <wp:wrapNone/>
          <wp:docPr id="9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04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000000"/>
        <w:sz w:val="24"/>
        <w:szCs w:val="24"/>
        <w:lang w:val="ro-RO" w:eastAsia="ro-RO"/>
      </w:rPr>
      <w:t xml:space="preserve"> </w:t>
    </w:r>
    <w:r w:rsidRPr="00F665EE">
      <w:rPr>
        <w:rFonts w:ascii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>
          <wp:extent cx="2731077" cy="554182"/>
          <wp:effectExtent l="19050" t="0" r="0" b="0"/>
          <wp:docPr id="10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860" cy="5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0000"/>
        <w:sz w:val="24"/>
        <w:szCs w:val="24"/>
        <w:lang w:val="ro-RO" w:eastAsia="ro-RO"/>
      </w:rPr>
      <w:t xml:space="preserve"> </w:t>
    </w:r>
    <w:r w:rsidRPr="00F665EE">
      <w:rPr>
        <w:rFonts w:ascii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>
          <wp:extent cx="699756" cy="639834"/>
          <wp:effectExtent l="19050" t="0" r="5094" b="0"/>
          <wp:docPr id="11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46" cy="65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0000"/>
        <w:sz w:val="24"/>
        <w:szCs w:val="24"/>
        <w:lang w:val="ro-RO" w:eastAsia="ro-RO"/>
      </w:rPr>
      <w:t xml:space="preserve">       </w:t>
    </w:r>
  </w:p>
  <w:p w:rsidR="00827398" w:rsidRDefault="00827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076"/>
    <w:multiLevelType w:val="hybridMultilevel"/>
    <w:tmpl w:val="69D6D61C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EB3DEE"/>
    <w:multiLevelType w:val="hybridMultilevel"/>
    <w:tmpl w:val="032E66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1DB2"/>
    <w:multiLevelType w:val="hybridMultilevel"/>
    <w:tmpl w:val="E85A8302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130D"/>
    <w:multiLevelType w:val="multilevel"/>
    <w:tmpl w:val="F66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21812"/>
    <w:multiLevelType w:val="multilevel"/>
    <w:tmpl w:val="40D4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F4CE0"/>
    <w:multiLevelType w:val="multilevel"/>
    <w:tmpl w:val="D03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6BCC"/>
    <w:multiLevelType w:val="hybridMultilevel"/>
    <w:tmpl w:val="63D8C598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5CA7"/>
    <w:multiLevelType w:val="hybridMultilevel"/>
    <w:tmpl w:val="68C6DC6E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258B7"/>
    <w:multiLevelType w:val="hybridMultilevel"/>
    <w:tmpl w:val="783E5AAC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360D6"/>
    <w:multiLevelType w:val="hybridMultilevel"/>
    <w:tmpl w:val="66FC42FA"/>
    <w:lvl w:ilvl="0" w:tplc="2A626440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B16F4C"/>
    <w:multiLevelType w:val="multilevel"/>
    <w:tmpl w:val="0B9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E152B"/>
    <w:multiLevelType w:val="hybridMultilevel"/>
    <w:tmpl w:val="F094F8B6"/>
    <w:lvl w:ilvl="0" w:tplc="FCE81EAE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45727B2B"/>
    <w:multiLevelType w:val="hybridMultilevel"/>
    <w:tmpl w:val="F69C6002"/>
    <w:lvl w:ilvl="0" w:tplc="1ABAD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6CC6"/>
    <w:multiLevelType w:val="hybridMultilevel"/>
    <w:tmpl w:val="76A6567A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BA6B7F"/>
    <w:multiLevelType w:val="hybridMultilevel"/>
    <w:tmpl w:val="7A00B700"/>
    <w:lvl w:ilvl="0" w:tplc="F07A3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76EE6"/>
    <w:multiLevelType w:val="hybridMultilevel"/>
    <w:tmpl w:val="66B00DDC"/>
    <w:lvl w:ilvl="0" w:tplc="C04EF796">
      <w:numFmt w:val="bullet"/>
      <w:lvlText w:val="-"/>
      <w:lvlJc w:val="left"/>
      <w:pPr>
        <w:ind w:left="128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>
    <w:nsid w:val="7C7F6EB4"/>
    <w:multiLevelType w:val="multilevel"/>
    <w:tmpl w:val="756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327A9"/>
    <w:multiLevelType w:val="hybridMultilevel"/>
    <w:tmpl w:val="5E4E40AE"/>
    <w:lvl w:ilvl="0" w:tplc="1ABAD87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9D116A"/>
    <w:multiLevelType w:val="hybridMultilevel"/>
    <w:tmpl w:val="D868AD7E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8E"/>
    <w:rsid w:val="00004A47"/>
    <w:rsid w:val="00027235"/>
    <w:rsid w:val="00030460"/>
    <w:rsid w:val="00057090"/>
    <w:rsid w:val="00057E7A"/>
    <w:rsid w:val="00065C68"/>
    <w:rsid w:val="00084370"/>
    <w:rsid w:val="00087665"/>
    <w:rsid w:val="000943FC"/>
    <w:rsid w:val="000B48E1"/>
    <w:rsid w:val="000B7D8E"/>
    <w:rsid w:val="000D1338"/>
    <w:rsid w:val="000D4A10"/>
    <w:rsid w:val="000E502E"/>
    <w:rsid w:val="000F0518"/>
    <w:rsid w:val="00111BE2"/>
    <w:rsid w:val="001122F3"/>
    <w:rsid w:val="001420D6"/>
    <w:rsid w:val="00143C37"/>
    <w:rsid w:val="00147F9A"/>
    <w:rsid w:val="00153A9D"/>
    <w:rsid w:val="00153E28"/>
    <w:rsid w:val="001563D8"/>
    <w:rsid w:val="0018563E"/>
    <w:rsid w:val="00187582"/>
    <w:rsid w:val="00192362"/>
    <w:rsid w:val="001A2FB3"/>
    <w:rsid w:val="001C1F7D"/>
    <w:rsid w:val="001C4236"/>
    <w:rsid w:val="001E29C5"/>
    <w:rsid w:val="001E714C"/>
    <w:rsid w:val="00206F4D"/>
    <w:rsid w:val="002114DB"/>
    <w:rsid w:val="0022323A"/>
    <w:rsid w:val="00242637"/>
    <w:rsid w:val="00253471"/>
    <w:rsid w:val="00254908"/>
    <w:rsid w:val="002832BF"/>
    <w:rsid w:val="00286613"/>
    <w:rsid w:val="00293449"/>
    <w:rsid w:val="002A3EDF"/>
    <w:rsid w:val="002C6723"/>
    <w:rsid w:val="002E7A57"/>
    <w:rsid w:val="002F4C5A"/>
    <w:rsid w:val="002F77FF"/>
    <w:rsid w:val="003104CA"/>
    <w:rsid w:val="00315B73"/>
    <w:rsid w:val="00327747"/>
    <w:rsid w:val="00340FF5"/>
    <w:rsid w:val="00342708"/>
    <w:rsid w:val="00351951"/>
    <w:rsid w:val="003573E9"/>
    <w:rsid w:val="00373144"/>
    <w:rsid w:val="00382A7B"/>
    <w:rsid w:val="003917BD"/>
    <w:rsid w:val="003A42E4"/>
    <w:rsid w:val="003D1657"/>
    <w:rsid w:val="003D3BA7"/>
    <w:rsid w:val="003E0B1D"/>
    <w:rsid w:val="003E495B"/>
    <w:rsid w:val="003F5FF6"/>
    <w:rsid w:val="0040062B"/>
    <w:rsid w:val="004020AF"/>
    <w:rsid w:val="00412B88"/>
    <w:rsid w:val="00415977"/>
    <w:rsid w:val="00427FE4"/>
    <w:rsid w:val="0043349D"/>
    <w:rsid w:val="00433CD4"/>
    <w:rsid w:val="0043719B"/>
    <w:rsid w:val="0044688E"/>
    <w:rsid w:val="00446B58"/>
    <w:rsid w:val="00447F03"/>
    <w:rsid w:val="00466CDB"/>
    <w:rsid w:val="004702AA"/>
    <w:rsid w:val="00477A8E"/>
    <w:rsid w:val="0048406E"/>
    <w:rsid w:val="004900A4"/>
    <w:rsid w:val="00490677"/>
    <w:rsid w:val="00495A80"/>
    <w:rsid w:val="004C20DE"/>
    <w:rsid w:val="004C3260"/>
    <w:rsid w:val="004C3289"/>
    <w:rsid w:val="004C5DFC"/>
    <w:rsid w:val="004D1176"/>
    <w:rsid w:val="004F52BC"/>
    <w:rsid w:val="00510FF4"/>
    <w:rsid w:val="00517398"/>
    <w:rsid w:val="00531972"/>
    <w:rsid w:val="00533259"/>
    <w:rsid w:val="00536B12"/>
    <w:rsid w:val="00536B66"/>
    <w:rsid w:val="005536C0"/>
    <w:rsid w:val="005658A0"/>
    <w:rsid w:val="00580D49"/>
    <w:rsid w:val="005B1973"/>
    <w:rsid w:val="005B3A01"/>
    <w:rsid w:val="005C1BDA"/>
    <w:rsid w:val="005E3A3C"/>
    <w:rsid w:val="005F065A"/>
    <w:rsid w:val="006176C1"/>
    <w:rsid w:val="00650706"/>
    <w:rsid w:val="00653A10"/>
    <w:rsid w:val="006722AE"/>
    <w:rsid w:val="0067559A"/>
    <w:rsid w:val="00677F00"/>
    <w:rsid w:val="006B2482"/>
    <w:rsid w:val="006D07DF"/>
    <w:rsid w:val="006D7860"/>
    <w:rsid w:val="006E1B9A"/>
    <w:rsid w:val="0070218C"/>
    <w:rsid w:val="00716B34"/>
    <w:rsid w:val="0073220F"/>
    <w:rsid w:val="0073706F"/>
    <w:rsid w:val="0074050F"/>
    <w:rsid w:val="007416AF"/>
    <w:rsid w:val="00741822"/>
    <w:rsid w:val="00764D75"/>
    <w:rsid w:val="0076557A"/>
    <w:rsid w:val="0077285C"/>
    <w:rsid w:val="00780A15"/>
    <w:rsid w:val="007C267E"/>
    <w:rsid w:val="007C411F"/>
    <w:rsid w:val="007E25AF"/>
    <w:rsid w:val="007E59E9"/>
    <w:rsid w:val="007E766A"/>
    <w:rsid w:val="007F7E6D"/>
    <w:rsid w:val="00805447"/>
    <w:rsid w:val="00810CED"/>
    <w:rsid w:val="008116AE"/>
    <w:rsid w:val="00827398"/>
    <w:rsid w:val="0083159A"/>
    <w:rsid w:val="00836DF5"/>
    <w:rsid w:val="0084190D"/>
    <w:rsid w:val="00871F11"/>
    <w:rsid w:val="00877BBF"/>
    <w:rsid w:val="008839F7"/>
    <w:rsid w:val="00884628"/>
    <w:rsid w:val="00885C31"/>
    <w:rsid w:val="00885E81"/>
    <w:rsid w:val="008863BB"/>
    <w:rsid w:val="00887D50"/>
    <w:rsid w:val="0089454E"/>
    <w:rsid w:val="008A38D3"/>
    <w:rsid w:val="008A4722"/>
    <w:rsid w:val="008C27E6"/>
    <w:rsid w:val="008C3DC7"/>
    <w:rsid w:val="008D302A"/>
    <w:rsid w:val="008E3B92"/>
    <w:rsid w:val="00902AAC"/>
    <w:rsid w:val="00921A69"/>
    <w:rsid w:val="00927F0D"/>
    <w:rsid w:val="0095636F"/>
    <w:rsid w:val="00961621"/>
    <w:rsid w:val="00994223"/>
    <w:rsid w:val="0099452C"/>
    <w:rsid w:val="00997AC4"/>
    <w:rsid w:val="009A38D9"/>
    <w:rsid w:val="009B066A"/>
    <w:rsid w:val="009B3354"/>
    <w:rsid w:val="009B76B3"/>
    <w:rsid w:val="009C76AA"/>
    <w:rsid w:val="009D2920"/>
    <w:rsid w:val="009E00E6"/>
    <w:rsid w:val="00A073A5"/>
    <w:rsid w:val="00A26962"/>
    <w:rsid w:val="00A26F04"/>
    <w:rsid w:val="00A3361B"/>
    <w:rsid w:val="00A34F97"/>
    <w:rsid w:val="00A36369"/>
    <w:rsid w:val="00A5283E"/>
    <w:rsid w:val="00A924C6"/>
    <w:rsid w:val="00AB18B1"/>
    <w:rsid w:val="00AB3865"/>
    <w:rsid w:val="00AB4510"/>
    <w:rsid w:val="00AC0C50"/>
    <w:rsid w:val="00AC0EA9"/>
    <w:rsid w:val="00AC1B3C"/>
    <w:rsid w:val="00AC6C44"/>
    <w:rsid w:val="00AD022A"/>
    <w:rsid w:val="00AE126D"/>
    <w:rsid w:val="00AF0B34"/>
    <w:rsid w:val="00B00F4C"/>
    <w:rsid w:val="00B33EC3"/>
    <w:rsid w:val="00B62579"/>
    <w:rsid w:val="00B93DDD"/>
    <w:rsid w:val="00BC4CB3"/>
    <w:rsid w:val="00BE2A73"/>
    <w:rsid w:val="00BE34CB"/>
    <w:rsid w:val="00BF1740"/>
    <w:rsid w:val="00BF2773"/>
    <w:rsid w:val="00C04120"/>
    <w:rsid w:val="00C15570"/>
    <w:rsid w:val="00C20D82"/>
    <w:rsid w:val="00C211B1"/>
    <w:rsid w:val="00C24553"/>
    <w:rsid w:val="00C27ECB"/>
    <w:rsid w:val="00C307B9"/>
    <w:rsid w:val="00C40363"/>
    <w:rsid w:val="00C72BBF"/>
    <w:rsid w:val="00C7580B"/>
    <w:rsid w:val="00C90EE4"/>
    <w:rsid w:val="00CC474F"/>
    <w:rsid w:val="00CC5143"/>
    <w:rsid w:val="00CC5D33"/>
    <w:rsid w:val="00CD2C29"/>
    <w:rsid w:val="00CE1287"/>
    <w:rsid w:val="00CE6923"/>
    <w:rsid w:val="00D265DE"/>
    <w:rsid w:val="00D300AD"/>
    <w:rsid w:val="00D3323A"/>
    <w:rsid w:val="00D76611"/>
    <w:rsid w:val="00D76A74"/>
    <w:rsid w:val="00D829B3"/>
    <w:rsid w:val="00D868D6"/>
    <w:rsid w:val="00D92EE3"/>
    <w:rsid w:val="00DB6CDB"/>
    <w:rsid w:val="00DB7A57"/>
    <w:rsid w:val="00DD513E"/>
    <w:rsid w:val="00DE4A0F"/>
    <w:rsid w:val="00DF6863"/>
    <w:rsid w:val="00E02B20"/>
    <w:rsid w:val="00E071B7"/>
    <w:rsid w:val="00E07371"/>
    <w:rsid w:val="00E215A0"/>
    <w:rsid w:val="00E26FD9"/>
    <w:rsid w:val="00E552DF"/>
    <w:rsid w:val="00E70CA7"/>
    <w:rsid w:val="00E70D0A"/>
    <w:rsid w:val="00E750E4"/>
    <w:rsid w:val="00E82A8D"/>
    <w:rsid w:val="00EA59D3"/>
    <w:rsid w:val="00EB6035"/>
    <w:rsid w:val="00EC2743"/>
    <w:rsid w:val="00ED3DCF"/>
    <w:rsid w:val="00ED3EF9"/>
    <w:rsid w:val="00EF2761"/>
    <w:rsid w:val="00F027BB"/>
    <w:rsid w:val="00F056EC"/>
    <w:rsid w:val="00F079DE"/>
    <w:rsid w:val="00F15F3E"/>
    <w:rsid w:val="00F16DA5"/>
    <w:rsid w:val="00F26407"/>
    <w:rsid w:val="00F375D6"/>
    <w:rsid w:val="00F434F2"/>
    <w:rsid w:val="00F560BE"/>
    <w:rsid w:val="00F60650"/>
    <w:rsid w:val="00F665EE"/>
    <w:rsid w:val="00F8442F"/>
    <w:rsid w:val="00F9029B"/>
    <w:rsid w:val="00FB0070"/>
    <w:rsid w:val="00FC7A37"/>
    <w:rsid w:val="00FD00C9"/>
    <w:rsid w:val="00FD457A"/>
    <w:rsid w:val="00FD4BFF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D337-3EA4-4ECD-890D-E109E05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 Paragraph111,Outlines a.b,Akapit z listą BS,Outlines a.b.c.,List_Paragraph,Multilevel para_II,Akapit z lista BS,lp1,Heading x1,body 2,Lettre d'introduction,1st level - Bullet List Paragraph"/>
    <w:basedOn w:val="Normal"/>
    <w:link w:val="ListParagraphChar"/>
    <w:uiPriority w:val="34"/>
    <w:qFormat/>
    <w:rsid w:val="00446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F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F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par">
    <w:name w:val="s_par"/>
    <w:rsid w:val="00192362"/>
  </w:style>
  <w:style w:type="paragraph" w:styleId="Footer">
    <w:name w:val="footer"/>
    <w:aliases w:val=" Char"/>
    <w:basedOn w:val="Normal"/>
    <w:link w:val="FooterChar"/>
    <w:uiPriority w:val="99"/>
    <w:unhideWhenUsed/>
    <w:rsid w:val="00DF686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F6863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D3323A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ormal bullet 2 Char,List Paragraph1 Char,Forth level Char,List Paragraph111 Char,Outlines a.b Char,Akapit z listą BS Char,Outlines a.b.c. Char,List_Paragraph Char,Multilevel para_II Char,Akapit z lista BS Char,lp1 Char,body 2 Char"/>
    <w:link w:val="ListParagraph"/>
    <w:uiPriority w:val="34"/>
    <w:qFormat/>
    <w:locked/>
    <w:rsid w:val="00DB6CDB"/>
  </w:style>
  <w:style w:type="character" w:customStyle="1" w:styleId="saln">
    <w:name w:val="s_aln"/>
    <w:basedOn w:val="DefaultParagraphFont"/>
    <w:rsid w:val="00153E28"/>
  </w:style>
  <w:style w:type="character" w:customStyle="1" w:styleId="salnbdy">
    <w:name w:val="s_aln_bdy"/>
    <w:basedOn w:val="DefaultParagraphFont"/>
    <w:rsid w:val="00153E28"/>
  </w:style>
  <w:style w:type="character" w:customStyle="1" w:styleId="salnttl">
    <w:name w:val="s_aln_ttl"/>
    <w:basedOn w:val="DefaultParagraphFont"/>
    <w:rsid w:val="00153E28"/>
  </w:style>
  <w:style w:type="paragraph" w:styleId="FootnoteText">
    <w:name w:val="footnote text"/>
    <w:basedOn w:val="Normal"/>
    <w:link w:val="FootnoteTextChar"/>
    <w:uiPriority w:val="99"/>
    <w:semiHidden/>
    <w:unhideWhenUsed/>
    <w:rsid w:val="00153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E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t">
    <w:name w:val="s_lit"/>
    <w:basedOn w:val="DefaultParagraphFont"/>
    <w:rsid w:val="0076557A"/>
  </w:style>
  <w:style w:type="character" w:customStyle="1" w:styleId="slitbdy">
    <w:name w:val="s_lit_bdy"/>
    <w:basedOn w:val="DefaultParagraphFont"/>
    <w:rsid w:val="0076557A"/>
  </w:style>
  <w:style w:type="character" w:customStyle="1" w:styleId="slitttl">
    <w:name w:val="s_lit_ttl"/>
    <w:basedOn w:val="DefaultParagraphFont"/>
    <w:rsid w:val="0076557A"/>
  </w:style>
  <w:style w:type="paragraph" w:styleId="HTMLPreformatted">
    <w:name w:val="HTML Preformatted"/>
    <w:basedOn w:val="Normal"/>
    <w:link w:val="HTMLPreformattedChar"/>
    <w:uiPriority w:val="99"/>
    <w:rsid w:val="00810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ED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C2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D82"/>
  </w:style>
  <w:style w:type="character" w:styleId="Hyperlink">
    <w:name w:val="Hyperlink"/>
    <w:basedOn w:val="DefaultParagraphFont"/>
    <w:uiPriority w:val="99"/>
    <w:unhideWhenUsed/>
    <w:rsid w:val="00C2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C76E-9CA5-414C-B73F-977B1415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Cotea Iulia</dc:creator>
  <cp:lastModifiedBy>Iulia Naom Cotea</cp:lastModifiedBy>
  <cp:revision>16</cp:revision>
  <cp:lastPrinted>2023-11-06T13:38:00Z</cp:lastPrinted>
  <dcterms:created xsi:type="dcterms:W3CDTF">2023-11-10T10:44:00Z</dcterms:created>
  <dcterms:modified xsi:type="dcterms:W3CDTF">2023-11-14T11:01:00Z</dcterms:modified>
</cp:coreProperties>
</file>